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62" w:rsidRPr="00BC3762" w:rsidRDefault="00BC3762" w:rsidP="00BC376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BC3762" w:rsidRPr="00BC3762" w:rsidRDefault="00BC3762" w:rsidP="00BC376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Аксайского района</w:t>
      </w:r>
    </w:p>
    <w:p w:rsidR="00BC3762" w:rsidRPr="00BC3762" w:rsidRDefault="00BC3762" w:rsidP="00BC376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Старочеркасская средняя общеобразовательная школа</w:t>
      </w:r>
    </w:p>
    <w:p w:rsidR="00BC3762" w:rsidRPr="00BC3762" w:rsidRDefault="00BC3762" w:rsidP="00BC3762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BC3762" w:rsidRPr="00BC3762" w:rsidRDefault="00BC3762" w:rsidP="00BC3762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«Утверждаю»</w:t>
      </w: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br/>
        <w:t xml:space="preserve">Директор МБОУ Старочеркасской СОШ </w:t>
      </w: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ind w:left="45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tabs>
          <w:tab w:val="left" w:leader="underscore" w:pos="7109"/>
        </w:tabs>
        <w:autoSpaceDE w:val="0"/>
        <w:autoSpaceDN w:val="0"/>
        <w:adjustRightInd w:val="0"/>
        <w:spacing w:before="10" w:after="0" w:line="240" w:lineRule="auto"/>
        <w:ind w:left="45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 xml:space="preserve">Приказ № </w:t>
      </w:r>
      <w:r w:rsidR="00A509A8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___</w:t>
      </w: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 xml:space="preserve"> от  </w:t>
      </w:r>
      <w:r w:rsidR="00A509A8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«__</w:t>
      </w:r>
      <w:r w:rsidRPr="00BC3762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»</w:t>
      </w: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 xml:space="preserve">  </w:t>
      </w:r>
      <w:r w:rsidRPr="00BC3762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сентября</w:t>
      </w: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 xml:space="preserve">   </w:t>
      </w:r>
      <w:r w:rsidR="00A509A8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>2018</w:t>
      </w:r>
      <w:r w:rsidRPr="00BC3762">
        <w:rPr>
          <w:rFonts w:ascii="Times New Roman" w:eastAsiaTheme="minorEastAsia" w:hAnsi="Times New Roman" w:cs="Times New Roman"/>
          <w:color w:val="000000"/>
          <w:u w:val="single"/>
          <w:lang w:eastAsia="ru-RU"/>
        </w:rPr>
        <w:t xml:space="preserve"> г.</w:t>
      </w: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ind w:left="45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tabs>
          <w:tab w:val="left" w:leader="underscore" w:pos="8074"/>
        </w:tabs>
        <w:autoSpaceDE w:val="0"/>
        <w:autoSpaceDN w:val="0"/>
        <w:adjustRightInd w:val="0"/>
        <w:spacing w:before="53" w:after="0" w:line="240" w:lineRule="auto"/>
        <w:ind w:left="4584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________________ Н.Н.Кривошапкина</w:t>
      </w: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ind w:left="2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Theme="minorEastAsia" w:hAnsi="Times New Roman" w:cs="Times New Roman"/>
          <w:b/>
          <w:bCs/>
          <w:color w:val="000000"/>
          <w:sz w:val="38"/>
          <w:szCs w:val="38"/>
          <w:lang w:eastAsia="ru-RU"/>
        </w:rPr>
      </w:pPr>
      <w:r w:rsidRPr="00BC3762">
        <w:rPr>
          <w:rFonts w:ascii="Times New Roman" w:eastAsiaTheme="minorEastAsia" w:hAnsi="Times New Roman" w:cs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BC3762" w:rsidRPr="00BC3762" w:rsidRDefault="00BC3762" w:rsidP="00BC3762">
      <w:pPr>
        <w:autoSpaceDE w:val="0"/>
        <w:autoSpaceDN w:val="0"/>
        <w:adjustRightInd w:val="0"/>
        <w:spacing w:before="82" w:after="0" w:line="240" w:lineRule="auto"/>
        <w:ind w:left="2256"/>
        <w:rPr>
          <w:rFonts w:ascii="Times New Roman" w:eastAsiaTheme="minorEastAsia" w:hAnsi="Times New Roman" w:cs="Times New Roman"/>
          <w:b/>
          <w:bCs/>
          <w:color w:val="000000"/>
          <w:sz w:val="38"/>
          <w:szCs w:val="38"/>
          <w:lang w:eastAsia="ru-RU"/>
        </w:rPr>
      </w:pPr>
    </w:p>
    <w:p w:rsidR="00BC3762" w:rsidRPr="00BC3762" w:rsidRDefault="00BC3762" w:rsidP="00BC3762">
      <w:pPr>
        <w:tabs>
          <w:tab w:val="left" w:leader="underscore" w:pos="5966"/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  <w:t>геометрии.</w:t>
      </w:r>
    </w:p>
    <w:p w:rsidR="00BC3762" w:rsidRPr="00BC3762" w:rsidRDefault="00BC3762" w:rsidP="00BC3762">
      <w:pPr>
        <w:autoSpaceDE w:val="0"/>
        <w:autoSpaceDN w:val="0"/>
        <w:adjustRightInd w:val="0"/>
        <w:spacing w:before="202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Уровень общего образования (класс):   </w:t>
      </w: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  <w:t>основное общее</w:t>
      </w:r>
      <w:r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  <w:t xml:space="preserve">  (9</w:t>
      </w: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  <w:t xml:space="preserve"> класс) </w:t>
      </w: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ind w:right="54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3762" w:rsidRPr="00BC3762" w:rsidRDefault="00BC3762" w:rsidP="00BC37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Учитель </w:t>
      </w: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u w:val="single"/>
          <w:lang w:eastAsia="ru-RU"/>
        </w:rPr>
        <w:t>Иванина Светлана Александровна</w:t>
      </w:r>
    </w:p>
    <w:p w:rsidR="00BC3762" w:rsidRPr="00BC3762" w:rsidRDefault="00BC3762" w:rsidP="00BC3762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Программа разработана на основе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Атанасян Л. С. и др. «Программы общеобразовательных учреждений. Геометрия 7 - 9 классы» / сост. Т. А. Бурмистрова. – М.: Просвещение, 2012.» </w:t>
      </w: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BC3762" w:rsidRPr="00BC3762" w:rsidRDefault="00BC3762" w:rsidP="00BC3762">
      <w:pPr>
        <w:pBdr>
          <w:bottom w:val="single" w:sz="12" w:space="2" w:color="auto"/>
        </w:pBdr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1414145</wp:posOffset>
                </wp:positionV>
                <wp:extent cx="438150" cy="428625"/>
                <wp:effectExtent l="0" t="0" r="1905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DB98E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223.95pt;margin-top:111.35pt;width:34.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" fillcolor="white [3212]" strokecolor="white [3212]" strokeweight="2pt"/>
            </w:pict>
          </mc:Fallback>
        </mc:AlternateContent>
      </w:r>
      <w:r w:rsidRPr="00BC37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838C" wp14:editId="1BAB450A">
                <wp:simplePos x="0" y="0"/>
                <wp:positionH relativeFrom="column">
                  <wp:posOffset>2882265</wp:posOffset>
                </wp:positionH>
                <wp:positionV relativeFrom="paragraph">
                  <wp:posOffset>3555365</wp:posOffset>
                </wp:positionV>
                <wp:extent cx="247650" cy="247650"/>
                <wp:effectExtent l="0" t="0" r="19050" b="1905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4134D" id="Блок-схема: процесс 1" o:spid="_x0000_s1026" type="#_x0000_t109" style="position:absolute;margin-left:226.95pt;margin-top:279.95pt;width:19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    </w:pict>
          </mc:Fallback>
        </mc:AlternateContent>
      </w:r>
      <w:r w:rsidRPr="00BC37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44670" wp14:editId="318EEAD7">
                <wp:simplePos x="0" y="0"/>
                <wp:positionH relativeFrom="column">
                  <wp:posOffset>2894218</wp:posOffset>
                </wp:positionH>
                <wp:positionV relativeFrom="paragraph">
                  <wp:posOffset>3696148</wp:posOffset>
                </wp:positionV>
                <wp:extent cx="149412" cy="149412"/>
                <wp:effectExtent l="0" t="0" r="22225" b="2222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2" cy="149412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CF09" id="Блок-схема: процесс 2" o:spid="_x0000_s1026" type="#_x0000_t109" style="position:absolute;margin-left:227.9pt;margin-top:291.05pt;width:11.75pt;height:1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    </w:pict>
          </mc:Fallback>
        </mc:AlternateContent>
      </w:r>
      <w:r w:rsidRPr="00BC3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C3762" w:rsidRPr="00BC3762" w:rsidRDefault="00BC3762" w:rsidP="00BC3762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C37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Описание места учебного предмета в учебном плане.</w:t>
      </w:r>
    </w:p>
    <w:p w:rsidR="00BC3762" w:rsidRPr="00BC3762" w:rsidRDefault="00BC3762" w:rsidP="00BC376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 в год: 68</w:t>
      </w:r>
      <w:r w:rsidRPr="00BC37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 учебных недели</w:t>
      </w:r>
      <w:r w:rsidRPr="00BC376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C3762" w:rsidRPr="00BC3762" w:rsidRDefault="00BC3762" w:rsidP="00BC376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762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неделю: 2.</w:t>
      </w:r>
    </w:p>
    <w:p w:rsidR="00BC3762" w:rsidRPr="00BC3762" w:rsidRDefault="00BC3762" w:rsidP="00BC3762">
      <w:pPr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учебным планом и кале</w:t>
      </w:r>
      <w:r w:rsidR="00A56F0F">
        <w:rPr>
          <w:rFonts w:ascii="Times New Roman" w:eastAsia="Calibri" w:hAnsi="Times New Roman" w:cs="Times New Roman"/>
          <w:color w:val="000000"/>
          <w:sz w:val="24"/>
          <w:szCs w:val="24"/>
        </w:rPr>
        <w:t>ндарным учебным графиком на 2018-2019</w:t>
      </w:r>
      <w:bookmarkStart w:id="0" w:name="_GoBack"/>
      <w:bookmarkEnd w:id="0"/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рабочая программа </w:t>
      </w:r>
      <w:r w:rsidRPr="00BC3762">
        <w:rPr>
          <w:rFonts w:ascii="Times New Roman" w:hAnsi="Times New Roman" w:cs="Times New Roman"/>
          <w:sz w:val="24"/>
          <w:szCs w:val="24"/>
        </w:rPr>
        <w:t xml:space="preserve">рассчитана на </w:t>
      </w:r>
      <w:r>
        <w:rPr>
          <w:rFonts w:ascii="Times New Roman" w:hAnsi="Times New Roman" w:cs="Times New Roman"/>
          <w:b/>
          <w:i/>
          <w:sz w:val="24"/>
          <w:szCs w:val="24"/>
        </w:rPr>
        <w:t>67</w:t>
      </w:r>
      <w:r w:rsidRPr="00BC3762"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 w:rsidRPr="00BC3762">
        <w:rPr>
          <w:rFonts w:ascii="Times New Roman" w:hAnsi="Times New Roman" w:cs="Times New Roman"/>
          <w:sz w:val="24"/>
          <w:szCs w:val="24"/>
        </w:rPr>
        <w:t xml:space="preserve"> в год (</w:t>
      </w:r>
      <w:r w:rsidR="00A509A8">
        <w:rPr>
          <w:rFonts w:ascii="Times New Roman" w:eastAsia="Calibri" w:hAnsi="Times New Roman" w:cs="Times New Roman"/>
          <w:color w:val="000000"/>
          <w:sz w:val="24"/>
          <w:szCs w:val="24"/>
        </w:rPr>
        <w:t>праздничные дни:</w:t>
      </w:r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509A8">
        <w:rPr>
          <w:rFonts w:ascii="Times New Roman" w:eastAsia="Calibri" w:hAnsi="Times New Roman" w:cs="Times New Roman"/>
          <w:color w:val="000000"/>
          <w:sz w:val="24"/>
          <w:szCs w:val="24"/>
        </w:rPr>
        <w:t>2, 9</w:t>
      </w:r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</w:t>
      </w:r>
      <w:r w:rsidR="00A509A8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C3762">
        <w:rPr>
          <w:rFonts w:ascii="Times New Roman" w:hAnsi="Times New Roman" w:cs="Times New Roman"/>
          <w:sz w:val="24"/>
          <w:szCs w:val="24"/>
        </w:rPr>
        <w:t>.</w:t>
      </w:r>
      <w:r w:rsidR="00A509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Разница</w:t>
      </w:r>
      <w:r w:rsidRPr="00BC3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компенсируется за счет объединения темы (блочной подачи материала) «Повторение».  </w:t>
      </w:r>
    </w:p>
    <w:p w:rsidR="00BC3762" w:rsidRPr="00BC3762" w:rsidRDefault="00BC3762" w:rsidP="00BC3762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F50" w:rsidRPr="00446F50" w:rsidRDefault="00446F50" w:rsidP="004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 умения, навыки и способы деятельности.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определение структуры объекта познания;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адекватное восприятие устной речи и способность передавать содержание в другом виде;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составление плана, приведение примеров, подбор аргументов;</w:t>
      </w:r>
    </w:p>
    <w:p w:rsidR="00446F50" w:rsidRPr="00446F50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вступать в речевое общение, участвовать в диалоге;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сравнение, сопоставление объектов по одному или нескольким критериям;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владение умениями совместной деятельности.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самостоятельное выполнение творческой работы;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различать факт, мнение, гипотезу;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оценивание своих учебных достижений, поведения, черт своей личности, своего физического и эмоционального состояния.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оценивание своей деятельности с точки зрения нравственных, правовых норм, эстетических ценностей.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самостоятельная организация учебной деятельности (постановка цели, планирование, определение оптимального соотношения цели и средств).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разделять процессы на этапы, звенья; выделение характерных причинно-следственных связей;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мотивированно отказываться от образца, искать оригинальные решения;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использования выразительных средств знаковых систем в соответствии с задачей;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осознанное беглое чтение математических текстов, проведение информационно смыслового анализа текста;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объективное оценивание своего вклада в решение общих задач, учёт особенностей различного ролевого поведения.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перефразировать мысль, объяснять «иными словами»;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согласование и координация действий с другими её участниками.</w:t>
      </w:r>
    </w:p>
    <w:p w:rsidR="00446F50" w:rsidRPr="00446F50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создание письменных высказываний, с заданной степенью свёрнутости (кратко, выборочно, полно);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поиск и устранение причин возникших трудностей.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понимать точку зрения собеседника, признавать право на иное мнение;</w:t>
      </w:r>
    </w:p>
    <w:p w:rsidR="00446F50" w:rsidRPr="00D06FC8" w:rsidRDefault="00446F50" w:rsidP="00446F5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владение навыками контроля своей деятельности, умение предвидеть возможные последствия.</w:t>
      </w:r>
    </w:p>
    <w:p w:rsidR="00B8033A" w:rsidRDefault="00B8033A" w:rsidP="00BC37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06FC8" w:rsidRPr="00D06FC8" w:rsidRDefault="00D06FC8" w:rsidP="00D0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Содержание образования</w:t>
      </w:r>
    </w:p>
    <w:p w:rsidR="00D06FC8" w:rsidRPr="00D06FC8" w:rsidRDefault="00D06FC8" w:rsidP="00D0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1-2.</w:t>
      </w:r>
      <w:r w:rsidR="00770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Векторы. Метод координат.   (19</w:t>
      </w: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вектора. Длина (модуль)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определение структуры объекта познания;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адекватное восприятие устной речи и способность передавать содержание в другом виде;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составление плана, приведение примеров, подбор аргументов;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вступать в речевое общение, участвовать в диалоге;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3. Соотношения между сторонами и углами треугольника. Скалярно</w:t>
      </w:r>
      <w:r w:rsidR="00770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 произведение векторов.     (15</w:t>
      </w: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Синус, косинус, тангенс и котангенс угла (0 </w:t>
      </w:r>
      <w:r w:rsidRPr="00D06FC8">
        <w:rPr>
          <w:rFonts w:ascii="Arial" w:eastAsia="Times New Roman" w:hAnsi="Arial" w:cs="Arial"/>
          <w:sz w:val="24"/>
          <w:szCs w:val="24"/>
          <w:lang w:eastAsia="ru-RU"/>
        </w:rPr>
        <w:t>≤</w:t>
      </w: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FC8">
        <w:rPr>
          <w:rFonts w:ascii="Arial" w:eastAsia="Times New Roman" w:hAnsi="Arial" w:cs="Arial"/>
          <w:sz w:val="24"/>
          <w:szCs w:val="24"/>
          <w:lang w:eastAsia="ru-RU"/>
        </w:rPr>
        <w:t>α ≤</w:t>
      </w: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</w:t>
      </w:r>
      <w:r w:rsidRPr="00D06FC8">
        <w:rPr>
          <w:rFonts w:ascii="Arial" w:eastAsia="Times New Roman" w:hAnsi="Arial" w:cs="Arial"/>
          <w:sz w:val="24"/>
          <w:szCs w:val="24"/>
          <w:lang w:eastAsia="ru-RU"/>
        </w:rPr>
        <w:t>°)</w:t>
      </w: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сравнение, сопоставление объектов по одному или нескольким критериям;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владение умениями совместной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адекватное восприятие устной речи и способность передавать содержание в другом виде;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самостоятельное выполнение творческой работы;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Длина окружности и площадь круга.  (10 ч.)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различать факт, мнение, гипотезу;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оценивание своих учебных достижений, поведения, черт своей личности, своего физического и эмоционального состояния.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оценивание своей деятельности с точки зрения нравственных, правовых норм, эстетических ценностей.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самостоятельная организация учебной деятельности (постановка цели, планирование, определение оптимального соотношения цели и средств).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разделять процессы на этапы, звенья; выделение характерных причинно-следственных связей;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7702A2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 Движения..     (7</w:t>
      </w:r>
      <w:r w:rsidR="00D06FC8"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  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 Параллельный перенос. Поворот. Наложения и движения.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мотивированно отказываться от образца, искать оригинальные решения;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использования выразительных средств знаковых систем в соответствии с задачей;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осознанное беглое чтение математических текстов, проведение информационно смыслового анализа текста;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объективное оценивание своего вклада в решение общих задач, учёт особенностей различного ролевого поведения.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Начальные сведения из стереометрии.    (8 ч.)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стереометрии. Геометрические тела и поверхности. Примеры сечений. Примеры развёрток. Многогранники: призма, параллелепипед, пирамида, формулы для вычисления их объёмов. Тела и поверхности вращения: цилиндр, конус, шар, сфера, формулы для вычисления их площадей поверхностей и объёмов.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перефразировать мысль, объяснять «иными словами»;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согласование и координация действий с другими её участниками.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создание письменных высказываний, с заданной степенью свёрнутости (кратко, выборочно, полно);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Об аксиомах планиметрии.   (2 ч.)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аксиомах планиметрии.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736B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7702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Повторение. Решение задач.  (6</w:t>
      </w: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Общеучебные умения, навыки и способы деятельности.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поиск и устранение причин возникших трудностей.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умение понимать точку зрения собеседника, признавать право на иное мнение;</w:t>
      </w:r>
    </w:p>
    <w:p w:rsidR="00D06FC8" w:rsidRPr="00D06FC8" w:rsidRDefault="00D06FC8" w:rsidP="00D06FC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владение навыками контроля своей деятельности, умение предвидеть возможные последствия.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06FC8" w:rsidRPr="00D06FC8" w:rsidRDefault="00D06FC8" w:rsidP="00D0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D06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Требования к уровню подготовки обучающихся.</w:t>
      </w:r>
    </w:p>
    <w:p w:rsidR="00D06FC8" w:rsidRPr="00D06FC8" w:rsidRDefault="00D06FC8" w:rsidP="00D0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D06FC8" w:rsidRPr="00D06FC8" w:rsidRDefault="00D06FC8" w:rsidP="00D0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геометрии 9 класса ученик должен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Знать/понимать: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понятия математического доказательства; приводить примеры доказательств;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языком геометрии для описания предметов окружающего мира;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плоские геометрические фигуры, различать их взаимное расположение; 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геометрические фигуры; выполнять чертежи по условию задач, осуществлять преобразования фигур;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на чертежах, моделях и в окружающей обстановке основные пространственные тела, изображать  их;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простейших случаях строить сечения и развёртки пространственных тел;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операции над векторами, вычислять длину и координаты вектора, угол между векторами;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вычислять значения геометрических величин (длин, углов, площадей, объёмов); в том числе: для углов от 0 до 180 определять значения тригонометрических функций по заданным значениям углов; находить значения тригонометрических функций по значению одной из них; 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геометрические задачи, опираясь на изученные свойства фигур и отношений между ними, применяя, возможно, дополнительные построения, алгебраический и тригонометрический аппарат. Идеи симметрии; 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простейшие планиметрические задачи в пространстве.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описания реальных ситуаций на языке геометрии;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расчётов, включающих простейшие тригонометрические формулы;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геометрических задач с использованием тригонометрии;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06FC8" w:rsidRPr="00D06FC8" w:rsidRDefault="00D06FC8" w:rsidP="00D06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F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построений геометрическими инструментами (линейка, угольник, циркуль, транспортир).</w:t>
      </w:r>
    </w:p>
    <w:p w:rsidR="00D06FC8" w:rsidRPr="00D06FC8" w:rsidRDefault="00D06FC8" w:rsidP="00D06FC8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br w:type="page"/>
      </w:r>
    </w:p>
    <w:p w:rsidR="00BC3762" w:rsidRPr="00BC3762" w:rsidRDefault="00BC3762" w:rsidP="00BC3762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СОГЛАСОВАНО</w:t>
      </w:r>
    </w:p>
    <w:p w:rsidR="00BC3762" w:rsidRPr="00BC3762" w:rsidRDefault="00BC3762" w:rsidP="00BC3762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Заместитель директора по УВР</w:t>
      </w:r>
    </w:p>
    <w:p w:rsidR="00BC3762" w:rsidRPr="00BC3762" w:rsidRDefault="00BC3762" w:rsidP="00BC3762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C3762">
        <w:rPr>
          <w:rFonts w:ascii="Times New Roman" w:eastAsiaTheme="minorEastAsia" w:hAnsi="Times New Roman" w:cs="Times New Roman"/>
          <w:color w:val="000000"/>
          <w:lang w:eastAsia="ru-RU"/>
        </w:rPr>
        <w:t>________________\И.Г.Лионова/</w:t>
      </w:r>
    </w:p>
    <w:p w:rsidR="00BC3762" w:rsidRPr="00BC3762" w:rsidRDefault="00A509A8" w:rsidP="00BC376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      » ________ _2018</w:t>
      </w:r>
      <w:r w:rsidR="00BC3762" w:rsidRPr="00BC3762">
        <w:rPr>
          <w:rFonts w:ascii="Times New Roman" w:hAnsi="Times New Roman" w:cs="Times New Roman"/>
          <w:color w:val="000000"/>
        </w:rPr>
        <w:t>_ год</w:t>
      </w:r>
    </w:p>
    <w:p w:rsidR="00BC3762" w:rsidRDefault="00B8033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BC3762" w:rsidSect="00BC3762">
          <w:footerReference w:type="even" r:id="rId8"/>
          <w:footerReference w:type="default" r:id="rId9"/>
          <w:pgSz w:w="11906" w:h="16838"/>
          <w:pgMar w:top="720" w:right="720" w:bottom="720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B8033A" w:rsidRDefault="00B8033A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033A" w:rsidRPr="00D06FC8" w:rsidRDefault="00B8033A" w:rsidP="00B803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F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Календарно-тематический план.  </w:t>
      </w:r>
      <w:r w:rsidRPr="00D0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D0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02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Геометрия 9 класс (67</w:t>
      </w:r>
      <w:r w:rsidRPr="00D06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ч.)</w:t>
      </w:r>
    </w:p>
    <w:p w:rsidR="00B8033A" w:rsidRPr="00D06FC8" w:rsidRDefault="00B8033A" w:rsidP="00B803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6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D06F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Л. С. Атанасян, В. Ф. Бутузов, С. Б. Кадомцев и др.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7"/>
        <w:gridCol w:w="34"/>
        <w:gridCol w:w="1099"/>
        <w:gridCol w:w="35"/>
        <w:gridCol w:w="5103"/>
        <w:gridCol w:w="851"/>
        <w:gridCol w:w="4359"/>
        <w:gridCol w:w="1276"/>
        <w:gridCol w:w="1134"/>
      </w:tblGrid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факт.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учебника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33A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Вводимые понятия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</w:t>
            </w:r>
          </w:p>
        </w:tc>
      </w:tr>
      <w:tr w:rsidR="00B8033A" w:rsidRPr="00D06FC8" w:rsidTr="00446F50">
        <w:trPr>
          <w:cantSplit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033A" w:rsidRPr="00B8033A" w:rsidRDefault="001E1AAA" w:rsidP="00B8033A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Векторы.   (11</w:t>
            </w:r>
            <w:r w:rsidR="00B8033A" w:rsidRPr="009642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вектора. Длина (модуль) вектора.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ектор. Длина (модуль) вектора.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чет.</w:t>
            </w: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Коллинеарные векторы. Сонаправленные векторы. Противоположно направленные векторы. Равные и противоположные векторы.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Операции над векторами. </w:t>
            </w:r>
            <w:r w:rsidR="00D01E98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</w:t>
            </w:r>
            <w:r w:rsidR="00D0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екторов с использованием правил треугольника и</w:t>
            </w:r>
            <w:r w:rsidR="00D01E98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параллелограмма.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многоугольника.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векторов.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векторов. Решение задач на сложение и вычитание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векторов.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векторов к решению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 прямой, соединяющей середины оснований трапеции.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5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0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линия трапеции.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A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E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«Векторы. Средняя линия трапеции».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AA" w:rsidRPr="00D06FC8" w:rsidRDefault="001E1AA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№1. Векторы.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Метод координат.   (8 ч.)</w:t>
            </w: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EE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двум неколлинеарным векторам.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Координатные векторы.  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EE4A1F" w:rsidP="00EE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вектора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EE4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между координатами вектора и координатами его начала и конца.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89(1)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Радиус-вектор точки. Метод координат.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54416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задачи в координатах: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лины вектора по его координатам, координаты середины отрезка, в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ычисление расстояния между точками.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зачёт № 1. Метод координат.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33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1E1AAA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AE26A9" w:rsidP="00C25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8033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линии на плоскости. Уравнение окружности. Уравнение прямой.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линии на плоскости.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A" w:rsidRPr="00D06FC8" w:rsidRDefault="00B8033A" w:rsidP="00C2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5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41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«Метод координат»</w:t>
            </w:r>
            <w:r w:rsidR="0094170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</w:t>
            </w: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5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№2. Метод координат.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B83D97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Соотношения между сторонами и углами треугольника. Скалярно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 произведение векторов.     (14</w:t>
            </w: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Синус, косинус, тангенс и котангенс угла </w:t>
            </w:r>
          </w:p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≤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α ≤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°)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Синус, косинус, тангенс и котангенс угла (0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≤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α ≤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°)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446F50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тригонометрическое тождество. Формулы, связывающие тригонометрические функции.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тригонометрическое тождество.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 (некоторые). Теорема о площади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теорему о площади треугольника.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5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косинусов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</w:t>
            </w:r>
            <w:r w:rsidR="00C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треугольников.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треугольников.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 координатах.  Свойства скалярного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C477C9" w:rsidP="00C4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50A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AE26A9" w:rsidP="00957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5750A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C477C9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скалярного произведения.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C477C9" w:rsidP="0095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0A" w:rsidRPr="00D06FC8" w:rsidRDefault="0095750A" w:rsidP="0095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Теоретический з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ачёт </w:t>
            </w:r>
            <w:r w:rsidR="00C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Соотношения между сторонами и углами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C4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«Соотношения между </w:t>
            </w:r>
            <w:r w:rsidR="00C47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 и углами треугольника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7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«Соотношения между сторонами и углами треугольника. Скалярное произведение векторов».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Default="007702A2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3. Соотношения между сторонами и углами треугольника. Скалярное произведение векторов.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Длина окружности и площадь круга.  (10 ч.)</w:t>
            </w: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7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многоугольники. Вычисление угла правильного многоугольника.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многоугольник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многоугольники. Вписанные и описанные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Вписанные и описанные многоугольники. Вписанные и описанные окружности.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правильных многоугольников.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π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Длина окружности. Длина дуги.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D06F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π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Длина окружности. Длина дуги.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7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круга. Площадь сектора.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круга.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Круговой сектор. 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кругового 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7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 длины окружности и площади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 теме «Длина окружности и площадь круга».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3. Длина окружности и площадь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4. Длина окружности и площадь круга.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 Движения..     (7</w:t>
            </w: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Отображение плоскости на себя. Понятие движения.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плоскости на себя. Движение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Наложения и движения.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и центральная симметрии.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Осевая и центральная симметрии.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70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перенос. Поворот.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Параллельный перенос. Поворот.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гомотетии.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омотети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 теме «Движения».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№ 4 по теме «Движения».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6. Начальные сведения из стереометрии.    (8 ч.)</w:t>
            </w: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702A2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стереометрии. Наглядные представления о пространственных телах и поверхностях.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Стереометрия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Пространственное тело. Поверхность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2A2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AE26A9" w:rsidP="00770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Примеры сечений. Примеры развёрток.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Многогранник. Сечение многогранника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азвёртк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A2" w:rsidRPr="00D06FC8" w:rsidRDefault="007702A2" w:rsidP="00770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E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параллелепипед, призма.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120-121</w:t>
            </w:r>
          </w:p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Куб, параллелепипед, призма.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06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 w:rsidRPr="00C7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тела. Формулы объёма куба, прямоугольного параллелепипеда, призмы, пирамиды.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тела.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вращения (цилиндр, конус, шар, сфера). Примеры сечений. Примеры развёрток.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125-127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С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6A2EDE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вычисления площадей поверхностей и объёмов тел вращения.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«Начальные сведения из стереометрии».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7. Об аксиомах планиметрии.   (2 ч.)</w:t>
            </w: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планиметрии.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планиметрии.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сведения о развитии геометрии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E26A9" w:rsidRPr="00D06FC8" w:rsidRDefault="00AE26A9" w:rsidP="00AE26A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8. Повторение. Решение задач. (6</w:t>
            </w:r>
            <w:r w:rsidRPr="00D06F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 теме «Треугольник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Равнобедренный и прямоугольный треугольники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E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 теме «Окружность»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E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 темам «Четырёхугольники. Многоугольники».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«Площади»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теории и решение задач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темам «Векторы», «Движения», « Метод координат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E2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(№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6A9" w:rsidRPr="00D06FC8" w:rsidTr="00446F5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509A8" w:rsidP="00AE26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E26A9"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различных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E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сборника для подготовки к ГИА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A9" w:rsidRPr="00D06FC8" w:rsidRDefault="00AE26A9" w:rsidP="00AE2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33A" w:rsidRDefault="00B8033A" w:rsidP="00B8033A"/>
    <w:p w:rsidR="000F7BFA" w:rsidRDefault="000F7BFA" w:rsidP="004869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0F7BFA" w:rsidSect="00BC3762">
          <w:pgSz w:w="16838" w:h="11906" w:orient="landscape"/>
          <w:pgMar w:top="720" w:right="720" w:bottom="1701" w:left="720" w:header="720" w:footer="720" w:gutter="0"/>
          <w:cols w:space="720"/>
          <w:docGrid w:linePitch="360"/>
        </w:sectPr>
      </w:pPr>
    </w:p>
    <w:p w:rsidR="000761D5" w:rsidRDefault="000F7BFA" w:rsidP="000F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контрольных работ.</w:t>
      </w:r>
    </w:p>
    <w:p w:rsidR="000F7BFA" w:rsidRDefault="000F7BFA" w:rsidP="000F7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1907"/>
        <w:gridCol w:w="1779"/>
      </w:tblGrid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9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0F7BFA" w:rsidTr="000F7BFA">
        <w:tc>
          <w:tcPr>
            <w:tcW w:w="1907" w:type="dxa"/>
          </w:tcPr>
          <w:p w:rsidR="000F7BFA" w:rsidRDefault="000F7BFA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9" w:type="dxa"/>
          </w:tcPr>
          <w:p w:rsidR="000F7BFA" w:rsidRDefault="00A509A8" w:rsidP="000F7B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F7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</w:tbl>
    <w:p w:rsidR="000F7BFA" w:rsidRPr="000F7BFA" w:rsidRDefault="000F7BFA" w:rsidP="000F7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7BFA" w:rsidRPr="000F7BFA" w:rsidSect="000F7BFA">
      <w:pgSz w:w="11906" w:h="16838"/>
      <w:pgMar w:top="720" w:right="720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EA" w:rsidRDefault="00674DEA">
      <w:pPr>
        <w:spacing w:after="0" w:line="240" w:lineRule="auto"/>
      </w:pPr>
      <w:r>
        <w:separator/>
      </w:r>
    </w:p>
  </w:endnote>
  <w:endnote w:type="continuationSeparator" w:id="0">
    <w:p w:rsidR="00674DEA" w:rsidRDefault="0067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E98" w:rsidRDefault="00D01E98" w:rsidP="00E903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E98" w:rsidRDefault="00D01E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010047"/>
      <w:docPartObj>
        <w:docPartGallery w:val="Page Numbers (Bottom of Page)"/>
        <w:docPartUnique/>
      </w:docPartObj>
    </w:sdtPr>
    <w:sdtEndPr/>
    <w:sdtContent>
      <w:p w:rsidR="00D01E98" w:rsidRDefault="00D01E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F0F">
          <w:rPr>
            <w:noProof/>
          </w:rPr>
          <w:t>3</w:t>
        </w:r>
        <w:r>
          <w:fldChar w:fldCharType="end"/>
        </w:r>
      </w:p>
    </w:sdtContent>
  </w:sdt>
  <w:p w:rsidR="00D01E98" w:rsidRDefault="00D01E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EA" w:rsidRDefault="00674DEA">
      <w:pPr>
        <w:spacing w:after="0" w:line="240" w:lineRule="auto"/>
      </w:pPr>
      <w:r>
        <w:separator/>
      </w:r>
    </w:p>
  </w:footnote>
  <w:footnote w:type="continuationSeparator" w:id="0">
    <w:p w:rsidR="00674DEA" w:rsidRDefault="0067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56766"/>
    <w:multiLevelType w:val="hybridMultilevel"/>
    <w:tmpl w:val="41E6A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E05A02"/>
    <w:multiLevelType w:val="hybridMultilevel"/>
    <w:tmpl w:val="8C808C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348C272C"/>
    <w:multiLevelType w:val="hybridMultilevel"/>
    <w:tmpl w:val="298A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B1E55"/>
    <w:multiLevelType w:val="hybridMultilevel"/>
    <w:tmpl w:val="13A6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3"/>
    <w:rsid w:val="00013FC9"/>
    <w:rsid w:val="00065A62"/>
    <w:rsid w:val="00067A12"/>
    <w:rsid w:val="000761D5"/>
    <w:rsid w:val="00084833"/>
    <w:rsid w:val="00085AD6"/>
    <w:rsid w:val="000A4703"/>
    <w:rsid w:val="000F033A"/>
    <w:rsid w:val="000F56FB"/>
    <w:rsid w:val="000F7BFA"/>
    <w:rsid w:val="00131B80"/>
    <w:rsid w:val="0014445C"/>
    <w:rsid w:val="00154D2A"/>
    <w:rsid w:val="0018065D"/>
    <w:rsid w:val="001E08B9"/>
    <w:rsid w:val="001E1AAA"/>
    <w:rsid w:val="001E48DA"/>
    <w:rsid w:val="001F1FA5"/>
    <w:rsid w:val="001F7D72"/>
    <w:rsid w:val="00275D02"/>
    <w:rsid w:val="002824A8"/>
    <w:rsid w:val="002D2F4D"/>
    <w:rsid w:val="00334149"/>
    <w:rsid w:val="00345EA2"/>
    <w:rsid w:val="00432CF9"/>
    <w:rsid w:val="00446F50"/>
    <w:rsid w:val="00462F63"/>
    <w:rsid w:val="00465B0D"/>
    <w:rsid w:val="0048198F"/>
    <w:rsid w:val="00486172"/>
    <w:rsid w:val="004869C4"/>
    <w:rsid w:val="004B76A3"/>
    <w:rsid w:val="0051700D"/>
    <w:rsid w:val="0054416A"/>
    <w:rsid w:val="00582A1F"/>
    <w:rsid w:val="005C4205"/>
    <w:rsid w:val="006222D8"/>
    <w:rsid w:val="00674DEA"/>
    <w:rsid w:val="00687A94"/>
    <w:rsid w:val="006C1CB5"/>
    <w:rsid w:val="006F2A99"/>
    <w:rsid w:val="006F4A38"/>
    <w:rsid w:val="00736BE9"/>
    <w:rsid w:val="007702A2"/>
    <w:rsid w:val="00781221"/>
    <w:rsid w:val="007C01D5"/>
    <w:rsid w:val="007F24B7"/>
    <w:rsid w:val="00850AC9"/>
    <w:rsid w:val="00874D68"/>
    <w:rsid w:val="008A4D69"/>
    <w:rsid w:val="008A6944"/>
    <w:rsid w:val="00941702"/>
    <w:rsid w:val="0095750A"/>
    <w:rsid w:val="00982F78"/>
    <w:rsid w:val="009B19D1"/>
    <w:rsid w:val="009F7C73"/>
    <w:rsid w:val="00A509A8"/>
    <w:rsid w:val="00A56F0F"/>
    <w:rsid w:val="00A637C6"/>
    <w:rsid w:val="00A93C57"/>
    <w:rsid w:val="00AB1B3B"/>
    <w:rsid w:val="00AE26A9"/>
    <w:rsid w:val="00B3645C"/>
    <w:rsid w:val="00B4750D"/>
    <w:rsid w:val="00B8033A"/>
    <w:rsid w:val="00BB5F68"/>
    <w:rsid w:val="00BC3762"/>
    <w:rsid w:val="00C25695"/>
    <w:rsid w:val="00C31E76"/>
    <w:rsid w:val="00C477C9"/>
    <w:rsid w:val="00C9029B"/>
    <w:rsid w:val="00CD0665"/>
    <w:rsid w:val="00CD7F8F"/>
    <w:rsid w:val="00D01E98"/>
    <w:rsid w:val="00D06FC8"/>
    <w:rsid w:val="00D525AC"/>
    <w:rsid w:val="00DB2FF5"/>
    <w:rsid w:val="00DF567A"/>
    <w:rsid w:val="00E30D87"/>
    <w:rsid w:val="00E54AB4"/>
    <w:rsid w:val="00E903DB"/>
    <w:rsid w:val="00EC4594"/>
    <w:rsid w:val="00ED014F"/>
    <w:rsid w:val="00EE4A1F"/>
    <w:rsid w:val="00F02A62"/>
    <w:rsid w:val="00F02E15"/>
    <w:rsid w:val="00F07C7A"/>
    <w:rsid w:val="00F11962"/>
    <w:rsid w:val="00F25D41"/>
    <w:rsid w:val="00FB3099"/>
    <w:rsid w:val="00FC6B28"/>
    <w:rsid w:val="00FC7023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276F8-2899-43A8-9ADD-F9160C67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6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06F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6FC8"/>
  </w:style>
  <w:style w:type="paragraph" w:styleId="a6">
    <w:name w:val="List Paragraph"/>
    <w:basedOn w:val="a"/>
    <w:uiPriority w:val="34"/>
    <w:qFormat/>
    <w:rsid w:val="00CD06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033A"/>
  </w:style>
  <w:style w:type="character" w:styleId="a9">
    <w:name w:val="Hyperlink"/>
    <w:basedOn w:val="a0"/>
    <w:uiPriority w:val="99"/>
    <w:unhideWhenUsed/>
    <w:rsid w:val="00B8033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33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F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7076-2107-4E1B-8A75-D122AA6F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2014-11-21T15:51:00Z</cp:lastPrinted>
  <dcterms:created xsi:type="dcterms:W3CDTF">2013-09-07T09:34:00Z</dcterms:created>
  <dcterms:modified xsi:type="dcterms:W3CDTF">2018-09-21T21:10:00Z</dcterms:modified>
</cp:coreProperties>
</file>